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1" w:rsidRPr="00BA4C57" w:rsidRDefault="00563451" w:rsidP="00D118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_GoBack"/>
      <w:r w:rsidRPr="00BA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Стосовно особливостей подачі деклар</w:t>
      </w:r>
      <w:r w:rsidR="002C2219" w:rsidRPr="00BA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ацій захисниками </w:t>
      </w:r>
      <w:r w:rsidR="00BA4C57" w:rsidRPr="00BA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й</w:t>
      </w:r>
      <w:r w:rsidR="002C2219" w:rsidRPr="00BA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захисницями, як декларувати «бойові» та закордонні рахунки</w:t>
      </w:r>
    </w:p>
    <w:bookmarkEnd w:id="0"/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Відновлення електронного декларува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ння викликало чимало запитань у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середовищі військовослужбовців ЗС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України. Зокрема, цікавлять окремі положення Закону України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5" w:anchor="Text" w:history="1">
        <w:r w:rsid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 xml:space="preserve">«Про внесення змін до </w:t>
        </w:r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деяких законів України про визначення порядку подання декларацій осіб, уповноважених на</w:t>
        </w:r>
        <w:r w:rsid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 xml:space="preserve"> </w:t>
        </w:r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виконання функцій держави або місцевого самоврядування, в</w:t>
        </w:r>
        <w:r w:rsid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 xml:space="preserve"> </w:t>
        </w:r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умовах воєнного стану»</w:t>
        </w:r>
      </w:hyperlink>
      <w:r w:rsidR="008849B9">
        <w:rPr>
          <w:rFonts w:ascii="Times New Roman" w:eastAsia="Times New Roman" w:hAnsi="Times New Roman" w:cs="Times New Roman"/>
          <w:color w:val="006291"/>
          <w:sz w:val="24"/>
          <w:szCs w:val="24"/>
          <w:u w:val="single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 3384-ІХ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(яким внесено зміни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6" w:anchor="top" w:history="1"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«Про запобігання корупції</w:t>
        </w:r>
      </w:hyperlink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», далі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Закон), які стосуються термінів кампаній декларування, суб’єктів декларування, відкриття публічного доступу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Єдиного державного реєстру декларацій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ура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хуванням </w:t>
      </w:r>
      <w:proofErr w:type="spellStart"/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безпекових</w:t>
      </w:r>
      <w:proofErr w:type="spellEnd"/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аспектів та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нових інструментів від НАЗК для декларантів.</w:t>
      </w:r>
    </w:p>
    <w:p w:rsidR="006552F8" w:rsidRPr="008849B9" w:rsidRDefault="006552F8" w:rsidP="000B4A2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Терміни подачі декларацій суб’єктами декларування</w:t>
      </w:r>
    </w:p>
    <w:p w:rsidR="006552F8" w:rsidRPr="008849B9" w:rsidRDefault="008849B9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_Hlk14964440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Суб’єкти декларування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з-поміж військовослужбовців Збройних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ил України (крім суб’єктів декларування з-поміж 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йськовослужбовців, зазначених у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1-5 частини сьомої статті 45 Закону), зобов’язані подати визначені статтею 45 Закону декларації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пізніше 90 календарних днів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дня припинення або скасування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воєнного стану або звільнення з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військової служби.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Суб’єкти декларування з-поміж військовослужбовців,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яких поширюється дія статті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52-1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цього Закону, зобов’язані подати визначені статтею 45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декларації не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пізніше 90 календарних днів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дня припинення або скасування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воєнного стану або звільнення з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військової служби або в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інший строк, визначений порядком здійснення заходів фінансового контролю, передбачений абзацом першим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 52-1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цього Закону.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Суб’єкти декларування, які для здійснення службових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повноважень на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постійній основі перебувають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територіях,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яких ведуться активні бойові д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ії, перелік яких визначається 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установленому законодавством порядку, зобов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’язані подати визначені </w:t>
      </w:r>
      <w:proofErr w:type="spellStart"/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spellEnd"/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ею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45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Закону декларації не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пізніше 90 календарних днів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дня настання припинення чи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скасування воєнного стану, звільнення (припинення повноважень) або визначення дати завершення бойових дій для території активних бойових дій,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якій суб’єкт декларування перебуває.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Суб’єкти декларування, які направлені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інших держав для участі в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міжнародних операціях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підтримання миру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безпеки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складі національних контингентів або національного персоналу, зобов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’язані подати визначені </w:t>
      </w:r>
      <w:proofErr w:type="spellStart"/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spellEnd"/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аттею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45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декларації не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пізніше 90 календарних днів із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дня звільнення (припинення повноважень) або повернення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місця проходження служби, роботи.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Суб’єкти декларування, які є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полоненими, інтернованими, зобов’язані подати визначені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аттею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45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декларації не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пізніше 90 днів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дня повернення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підконтрольну Україні територію.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Суб’єкти декларування, які внаслідок поранення, контузії, каліцтва, захворювання, пов’язаних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виконанням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обов’язків військової служби чи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інших службо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вих повноважень, перебувають на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стац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іонарному лікуванні (зокрема за кордоном) або у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відпустці для лікування та/або реабілітації, зобов’язані подати визначені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аттею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45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декларації не пізніше 90 днів з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дня завершення відповідного стаціонарного лікування чи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відпустки.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Суб’єкти декларування, які серед членів сім’ї у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відповідному звітному періоді мають осіб, щодо яких наявні зазначені у частинах сьомій (крім осіб, зазначених у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ктах 1-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частини сьомої цієї статті), восьмій-тринадцятій статтею 45 Закону обставини (зокрема якщо такі члени сім’ї не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належать до суб’єктів декларування),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зобов’язані подати декларації у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строки не пізніше 90 календарних днів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дня припинення або скасування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воєнного стану або звільнення з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військової служби членів сім’ї.</w:t>
      </w:r>
    </w:p>
    <w:p w:rsidR="006552F8" w:rsidRPr="008849B9" w:rsidRDefault="008849B9" w:rsidP="006769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</w:t>
      </w:r>
      <w:r w:rsidR="006552F8" w:rsidRP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кого поширюються заходи </w:t>
      </w:r>
      <w:proofErr w:type="spellStart"/>
      <w:r w:rsidR="006552F8" w:rsidRP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фінконтролю</w:t>
      </w:r>
      <w:proofErr w:type="spellEnd"/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Зобов’язання щодо здійснення</w:t>
      </w:r>
      <w:bookmarkStart w:id="2" w:name="_Hlk149644933"/>
      <w:bookmarkEnd w:id="2"/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заходів фінансового контролю 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повному обсязі поширюється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суб’єктів декларування з-поміж військовослужбовців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які: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проходять військову службу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посадах заступників Міністра оборони України, інших посадах 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Міністерстві оборони України або які відряджені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такі посади;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входять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складу військово-лікарських комісій, лікарсько-льотних комісій або відряджені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них;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проходять службу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територіальних центрах комплектування та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соціальної підтримки або відряджені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них (крім осіб рядового складу підрозділів охорони відповідних центрів);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 здійснюють (беруть участь 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здійсненні) підготовку, організацію, проведенн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 закупівель, товарів, робіт та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 відповідно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України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7" w:anchor="Text" w:history="1"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«Про оборонні закупівлі»</w:t>
        </w:r>
      </w:hyperlink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Закону України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8" w:anchor="Text" w:history="1"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«Про публічні закупівлі»</w:t>
        </w:r>
      </w:hyperlink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інших актів законодавства у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сфері публічних (оборонних) закупівель, укладення дого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ворів (контрактів), контроль за якістю товарів, робіт і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 оборонного призначення, зокрема: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уповноважені особи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розумінні Закону України «Про публічні закупівлі»;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особи, які входять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складу Міжвідомчої комісії щодо розгляду доцільності застосування процедури закупівлі товарів, робіт 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послуг оборонного призначення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єдиного виконавця, якщо вартість закупівлі дорівнює або перевищує 200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мільйонів гривень;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особи, які входять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складу колегіального органу, що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утворюється державним замовником відповідно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оборонні закупівлі»;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особи, які здійснюють конт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роль за якістю товарів, робіт і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послуг оборонног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призначення на всіх етапах їх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розроблення, виробництва, модернізації, ремонту та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утилізації.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Водночас військові посадові особи з-поміж військовослужбовців старшого офіцерського складу військової служби за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контрактом, які проходять військову службу в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закладах, установах і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організаціях Міністерства оборони України та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Збройних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сил України, що здійснюють діяльність у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сфері охорони здоров’я, освіти, науки, культури, спорту та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фізичної культури можуть добровільно подати декларацію особи, уповноваженої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функцій держави або місцевого самоврядування.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Особи, зазначені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пункті 1, підпунктах «а», «в», «г» пункту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частини першої статті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Закону, які припиняють діяльність, пов’язану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виконанням функцій держави або місцевого самоврядування,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 жовтня 2023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 протягом 30 календарних днів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дня припинення відповідної діяльності, подають декларацію особи, уповноваженої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функцій держави або місцевого самоврядування за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період, не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охоплений раніше поданими деклараціями.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Особи, зазначені 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п.п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«ґ» п.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 ч.1 ст.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Закону, які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12.10.2023 будуть включатися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складу військово-лікарських комісій, лікарсько-льотних комісій, зобов’язані п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одавати декларацію кандидата на посаду за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минулий рік, протягом 10 календарних днів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дня включення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складу відповідної комісії (абз. 4 ч.3 ст. 45 Закону).</w:t>
      </w:r>
    </w:p>
    <w:p w:rsidR="006552F8" w:rsidRPr="008849B9" w:rsidRDefault="006552F8" w:rsidP="006769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 декларування закордонних рахунків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Усі суб’єкти декларування звільняються від обов’язку подання передбачених частинами першою та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четвертою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атті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52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Закону повідомлень (відкриття валютного рахунка за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кордоном, суттєві зміни майнового стану)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період від початку дії правового режиму воєнного стану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відновлення заходів фінансового контролю у повному обсязі, тобто з 24.02.2022 по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11.10.2023</w:t>
      </w:r>
      <w:r w:rsidR="008849B9">
        <w:rPr>
          <w:lang w:val="uk-UA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 включно.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 жовтня 2023 року відповідно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положень частини другої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52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Закону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разі відкриття валютного рахунку за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кордоном, 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 суттєвої зміни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майновому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стані суб’єкта декларування, 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саме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тримання доходу, придбання майна або здійснення видатку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суму, яка перевищує 50 прожиткових мінімумів,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становлених для працездатних осіб </w:t>
      </w:r>
      <w:r w:rsidRPr="008849B9">
        <w:rPr>
          <w:lang w:val="uk-UA"/>
        </w:rPr>
        <w:t>на</w:t>
      </w:r>
      <w:r w:rsidR="008849B9">
        <w:rPr>
          <w:lang w:val="uk-UA"/>
        </w:rPr>
        <w:t xml:space="preserve"> </w:t>
      </w:r>
      <w:r w:rsidRPr="008849B9">
        <w:rPr>
          <w:lang w:val="uk-UA"/>
        </w:rPr>
        <w:t>1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січня відповідного року (у 2023 році на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суму, яка перевищує 134200 гривень), зазначений суб’єкт 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десятиденний строк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моменту отримання доходу, придбан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ня майна, здійснення видатку та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двадцятиденний строк 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дня відкриття валютного рахунка за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кордоном зобов’язаний повідомити про це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НАЗК.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Відповідне повідомлення повинні подавати особи, посади яких належать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 державної служби категорії «А» або «Б», 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 військові посадові особи вищого офіцерського складу (у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яких є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зобов’язання щодо подання декларацій, починаючи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12.10.2023).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884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Довідково</w:t>
      </w:r>
      <w:proofErr w:type="spellEnd"/>
      <w:r w:rsidRPr="00884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.</w:t>
      </w:r>
      <w:r w:rsidR="00884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Частиною другою статті 5 Закону України</w:t>
      </w:r>
      <w:r w:rsid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hyperlink r:id="rId9" w:anchor="Text" w:history="1">
        <w:r w:rsidRPr="008849B9">
          <w:rPr>
            <w:rFonts w:ascii="Times New Roman" w:eastAsia="Times New Roman" w:hAnsi="Times New Roman" w:cs="Times New Roman"/>
            <w:i/>
            <w:iCs/>
            <w:color w:val="006291"/>
            <w:sz w:val="24"/>
            <w:szCs w:val="24"/>
            <w:u w:val="single"/>
            <w:lang w:val="uk-UA" w:eastAsia="ru-RU"/>
          </w:rPr>
          <w:t>«Про військовий обов’язок і</w:t>
        </w:r>
        <w:r w:rsidR="008849B9">
          <w:rPr>
            <w:rFonts w:ascii="Times New Roman" w:eastAsia="Times New Roman" w:hAnsi="Times New Roman" w:cs="Times New Roman"/>
            <w:i/>
            <w:iCs/>
            <w:color w:val="006291"/>
            <w:sz w:val="24"/>
            <w:szCs w:val="24"/>
            <w:u w:val="single"/>
            <w:lang w:val="uk-UA" w:eastAsia="ru-RU"/>
          </w:rPr>
          <w:t xml:space="preserve"> </w:t>
        </w:r>
        <w:r w:rsidRPr="008849B9">
          <w:rPr>
            <w:rFonts w:ascii="Times New Roman" w:eastAsia="Times New Roman" w:hAnsi="Times New Roman" w:cs="Times New Roman"/>
            <w:i/>
            <w:iCs/>
            <w:color w:val="006291"/>
            <w:sz w:val="24"/>
            <w:szCs w:val="24"/>
            <w:u w:val="single"/>
            <w:lang w:val="uk-UA" w:eastAsia="ru-RU"/>
          </w:rPr>
          <w:t>військову службу»</w:t>
        </w:r>
      </w:hyperlink>
      <w:r w:rsid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встановлено, що</w:t>
      </w:r>
      <w:r w:rsid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</w:t>
      </w:r>
      <w:r w:rsid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вищого офіцерського складу належать: бригадний генерал, генерал-майор, генерал-лейтенант, генерал, комодор, </w:t>
      </w:r>
      <w:proofErr w:type="spellStart"/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контрадмірал</w:t>
      </w:r>
      <w:proofErr w:type="spellEnd"/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віцеадмірал</w:t>
      </w:r>
      <w:proofErr w:type="spellEnd"/>
      <w:r w:rsidRPr="00884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Чиї декларації будуть «закриті» та</w:t>
      </w:r>
      <w:r w:rsid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</w:t>
      </w:r>
      <w:r w:rsid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декларувати додаткові виплати військовослужбовців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 НАЗК розроблено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10" w:anchor="top" w:history="1">
        <w:r w:rsid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 xml:space="preserve">«Порядок вилучення з </w:t>
        </w:r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відкритого доступу декларації особи, уповноваженої на</w:t>
        </w:r>
        <w:r w:rsid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 xml:space="preserve"> </w:t>
        </w:r>
        <w:r w:rsidRPr="008849B9">
          <w:rPr>
            <w:rFonts w:ascii="Times New Roman" w:eastAsia="Times New Roman" w:hAnsi="Times New Roman" w:cs="Times New Roman"/>
            <w:color w:val="006291"/>
            <w:sz w:val="24"/>
            <w:szCs w:val="24"/>
            <w:u w:val="single"/>
            <w:lang w:val="uk-UA" w:eastAsia="ru-RU"/>
          </w:rPr>
          <w:t>виконання функцій держави або самоврядування»</w:t>
        </w:r>
      </w:hyperlink>
      <w:r w:rsidR="008849B9">
        <w:rPr>
          <w:rFonts w:ascii="Times New Roman" w:eastAsia="Times New Roman" w:hAnsi="Times New Roman" w:cs="Times New Roman"/>
          <w:color w:val="006291"/>
          <w:sz w:val="24"/>
          <w:szCs w:val="24"/>
          <w:u w:val="single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(далі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Порядок). Вказаний порядок стосується декларацій, поданих суб’єктами декларування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військовослужбовцями, зазначеними у частинах сьомій-чотирнадцятій </w:t>
      </w:r>
      <w:proofErr w:type="spellStart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proofErr w:type="spellEnd"/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атті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45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цього Закону (крім осіб, зазначених у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пунктах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1-4 частини сьомої статті 45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цього Закону), та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членами їх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ніх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сімей, починаючи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2016</w:t>
      </w:r>
      <w:r w:rsidR="008849B9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відновлення заходів фінансового контролю, зокрема якщо відповідні декларації були подані до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початку проходження ві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йськової служби, призначення на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посади.</w:t>
      </w:r>
    </w:p>
    <w:p w:rsidR="006552F8" w:rsidRPr="008849B9" w:rsidRDefault="006552F8" w:rsidP="00871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Порядок визначає процедуру вилучення декларації особи, уповноваженої на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виконання функцій держави або місцевого самоврядування (далі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декларація), з</w:t>
      </w:r>
      <w:r w:rsid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відкритого доступу публічної частини Єдиного державного реєстру декларацій осіб, уповноважених на виконання функцій держави або місцевого самоврядування.</w:t>
      </w:r>
    </w:p>
    <w:p w:rsidR="00614024" w:rsidRPr="008849B9" w:rsidRDefault="008849B9" w:rsidP="006769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Крім того, повідомляємо, що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додаткові виплати військовослужбовців суб’єкти декларування повинні декларувати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</w:t>
      </w:r>
      <w:proofErr w:type="spellEnd"/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декларації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«Доходи,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="006552F8" w:rsidRPr="008849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тому числі подарунки».</w:t>
      </w:r>
    </w:p>
    <w:sectPr w:rsidR="00614024" w:rsidRPr="008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A"/>
    <w:rsid w:val="000B4A2F"/>
    <w:rsid w:val="002C2219"/>
    <w:rsid w:val="00563451"/>
    <w:rsid w:val="00614024"/>
    <w:rsid w:val="006552F8"/>
    <w:rsid w:val="006769F1"/>
    <w:rsid w:val="0087119E"/>
    <w:rsid w:val="008849B9"/>
    <w:rsid w:val="00AC55FA"/>
    <w:rsid w:val="00AE6FC0"/>
    <w:rsid w:val="00BA4C57"/>
    <w:rsid w:val="00D118B4"/>
    <w:rsid w:val="00D93B5F"/>
    <w:rsid w:val="00DE1A36"/>
    <w:rsid w:val="00F175C0"/>
    <w:rsid w:val="00F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2F8"/>
    <w:rPr>
      <w:color w:val="0000FF"/>
      <w:u w:val="single"/>
    </w:rPr>
  </w:style>
  <w:style w:type="character" w:styleId="a5">
    <w:name w:val="Strong"/>
    <w:basedOn w:val="a0"/>
    <w:uiPriority w:val="22"/>
    <w:qFormat/>
    <w:rsid w:val="006552F8"/>
    <w:rPr>
      <w:b/>
      <w:bCs/>
    </w:rPr>
  </w:style>
  <w:style w:type="character" w:styleId="a6">
    <w:name w:val="Emphasis"/>
    <w:basedOn w:val="a0"/>
    <w:uiPriority w:val="20"/>
    <w:qFormat/>
    <w:rsid w:val="00655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2F8"/>
    <w:rPr>
      <w:color w:val="0000FF"/>
      <w:u w:val="single"/>
    </w:rPr>
  </w:style>
  <w:style w:type="character" w:styleId="a5">
    <w:name w:val="Strong"/>
    <w:basedOn w:val="a0"/>
    <w:uiPriority w:val="22"/>
    <w:qFormat/>
    <w:rsid w:val="006552F8"/>
    <w:rPr>
      <w:b/>
      <w:bCs/>
    </w:rPr>
  </w:style>
  <w:style w:type="character" w:styleId="a6">
    <w:name w:val="Emphasis"/>
    <w:basedOn w:val="a0"/>
    <w:uiPriority w:val="20"/>
    <w:qFormat/>
    <w:rsid w:val="00655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8-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384-20" TargetMode="External"/><Relationship Id="rId10" Type="http://schemas.openxmlformats.org/officeDocument/2006/relationships/hyperlink" Target="https://zakon.rada.gov.ua/laws/show/z1791-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UserN1</dc:creator>
  <cp:lastModifiedBy>Пользователь Windows</cp:lastModifiedBy>
  <cp:revision>5</cp:revision>
  <cp:lastPrinted>2023-11-01T08:47:00Z</cp:lastPrinted>
  <dcterms:created xsi:type="dcterms:W3CDTF">2023-11-01T09:41:00Z</dcterms:created>
  <dcterms:modified xsi:type="dcterms:W3CDTF">2023-11-01T10:06:00Z</dcterms:modified>
</cp:coreProperties>
</file>